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6C6" w:rsidRPr="0073397C" w:rsidRDefault="00A816C6" w:rsidP="00A816C6">
      <w:pPr>
        <w:pStyle w:val="StandardWeb"/>
        <w:rPr>
          <w:rFonts w:asciiTheme="minorHAnsi" w:hAnsiTheme="minorHAnsi" w:cstheme="minorHAnsi"/>
          <w:sz w:val="22"/>
          <w:szCs w:val="22"/>
        </w:rPr>
      </w:pPr>
      <w:r w:rsidRPr="0073397C">
        <w:rPr>
          <w:rFonts w:asciiTheme="minorHAnsi" w:hAnsiTheme="minorHAnsi" w:cstheme="minorHAnsi"/>
          <w:sz w:val="22"/>
          <w:szCs w:val="22"/>
        </w:rPr>
        <w:t>Die EKI „Die Schlümpfe" ist eine private Kinderkrippe, deren Träger ein gemeinnütziger Verein ist. In diesen Verein treten Eltern ein, deren Kinder die Krippe besuchen.</w:t>
      </w:r>
    </w:p>
    <w:p w:rsidR="00A816C6" w:rsidRPr="0073397C" w:rsidRDefault="00A816C6" w:rsidP="00A816C6">
      <w:pPr>
        <w:pStyle w:val="StandardWeb"/>
        <w:rPr>
          <w:rFonts w:asciiTheme="minorHAnsi" w:hAnsiTheme="minorHAnsi" w:cstheme="minorHAnsi"/>
          <w:sz w:val="22"/>
          <w:szCs w:val="22"/>
        </w:rPr>
      </w:pPr>
      <w:r w:rsidRPr="0073397C">
        <w:rPr>
          <w:rFonts w:asciiTheme="minorHAnsi" w:hAnsiTheme="minorHAnsi" w:cstheme="minorHAnsi"/>
          <w:sz w:val="22"/>
          <w:szCs w:val="22"/>
        </w:rPr>
        <w:t xml:space="preserve">Infonachmittage für interessierte Eltern finden in der Regel im Frühjahr in der Kinderkrippe statt. Gerne zeigen wir Ihnen unsere Räumlichkeiten, erzählen Ihnen alles über den Krippenalltag, unser pädagogisches Konzept und beantworten Ihre Fragen. Bei bestehendem Interesse können sich interessierte Eltern auf die Warteliste setzen lassen. Sobald ein Platz frei wird, laden wir die in Frage kommenden Eltern zu einem Einführungsgespräch ein, um Eltern und Kinder kennenzulernen. Die interessierten Eltern haben bei uns die Möglichkeit, einen „Schnuppertag" mit ihren Kindern zu machen. Sie können sich somit ein Bild von der Einrichtung machen und das Team ihrerseits ein Bild von Eltern und Kind.  </w:t>
      </w:r>
    </w:p>
    <w:p w:rsidR="0073397C" w:rsidRDefault="00A816C6" w:rsidP="0073397C">
      <w:pPr>
        <w:pStyle w:val="StandardWeb"/>
        <w:rPr>
          <w:rStyle w:val="Fett"/>
          <w:rFonts w:asciiTheme="minorHAnsi" w:hAnsiTheme="minorHAnsi" w:cstheme="minorHAnsi"/>
          <w:sz w:val="22"/>
          <w:szCs w:val="22"/>
        </w:rPr>
      </w:pPr>
      <w:r w:rsidRPr="0073397C">
        <w:rPr>
          <w:rStyle w:val="Fett"/>
          <w:rFonts w:asciiTheme="minorHAnsi" w:hAnsiTheme="minorHAnsi" w:cstheme="minorHAnsi"/>
          <w:sz w:val="22"/>
          <w:szCs w:val="22"/>
        </w:rPr>
        <w:t>Finanzen:</w:t>
      </w:r>
    </w:p>
    <w:p w:rsidR="0073397C" w:rsidRPr="0073397C" w:rsidRDefault="00A816C6" w:rsidP="0073397C">
      <w:pPr>
        <w:pStyle w:val="StandardWeb"/>
        <w:rPr>
          <w:rFonts w:asciiTheme="minorHAnsi" w:hAnsiTheme="minorHAnsi" w:cstheme="minorHAnsi"/>
          <w:b/>
          <w:bCs/>
          <w:sz w:val="22"/>
          <w:szCs w:val="22"/>
        </w:rPr>
      </w:pPr>
      <w:r w:rsidRPr="0073397C">
        <w:rPr>
          <w:rFonts w:asciiTheme="minorHAnsi" w:hAnsiTheme="minorHAnsi" w:cstheme="minorHAnsi"/>
          <w:b/>
          <w:bCs/>
          <w:sz w:val="22"/>
          <w:szCs w:val="22"/>
        </w:rPr>
        <w:br/>
      </w:r>
      <w:r w:rsidR="0073397C" w:rsidRPr="0073397C">
        <w:rPr>
          <w:rFonts w:asciiTheme="minorHAnsi" w:hAnsiTheme="minorHAnsi" w:cstheme="minorHAnsi"/>
          <w:sz w:val="22"/>
          <w:szCs w:val="22"/>
        </w:rPr>
        <w:t>Ab September 2019 nimmt die Kinderkrippe am EKI-Plus-Fördermodell teil. Mit EKI-Plus bekommen Eltern-Kind-Initiativen zusätzlich zur EKI-Förderung die Differenz zwischen den neuen, reduzierten Elternentgelten und den bisher tatsächlich erhobenen Elternentgelten bis zu einem maximalen Ausgleichsbetrag erstattet (Differenzförderung). Das Spiel- oder Materialgeld erhalten geförderte Einrichtungen ebenfalls als Ausgleichszahlung.</w:t>
      </w:r>
    </w:p>
    <w:p w:rsidR="0073397C" w:rsidRPr="0073397C" w:rsidRDefault="0073397C" w:rsidP="0073397C">
      <w:pPr>
        <w:jc w:val="both"/>
        <w:rPr>
          <w:rFonts w:cstheme="minorHAnsi"/>
        </w:rPr>
      </w:pPr>
      <w:r w:rsidRPr="0073397C">
        <w:rPr>
          <w:rFonts w:cstheme="minorHAnsi"/>
        </w:rPr>
        <w:t>Die Elternbeiträge werden je nach Einkommen und Buchungszeit entsprechend folgender Staffelung erhoben:</w:t>
      </w:r>
    </w:p>
    <w:tbl>
      <w:tblPr>
        <w:tblStyle w:val="Tabellenraster"/>
        <w:tblW w:w="0" w:type="auto"/>
        <w:tblLook w:val="04A0" w:firstRow="1" w:lastRow="0" w:firstColumn="1" w:lastColumn="0" w:noHBand="0" w:noVBand="1"/>
      </w:tblPr>
      <w:tblGrid>
        <w:gridCol w:w="1814"/>
        <w:gridCol w:w="1812"/>
        <w:gridCol w:w="1812"/>
        <w:gridCol w:w="1812"/>
        <w:gridCol w:w="1812"/>
      </w:tblGrid>
      <w:tr w:rsidR="0073397C" w:rsidRPr="0073397C" w:rsidTr="00F136DF">
        <w:tc>
          <w:tcPr>
            <w:tcW w:w="1836" w:type="dxa"/>
            <w:shd w:val="clear" w:color="auto" w:fill="BFBFBF" w:themeFill="background1" w:themeFillShade="BF"/>
          </w:tcPr>
          <w:p w:rsidR="0073397C" w:rsidRPr="0073397C" w:rsidRDefault="0073397C" w:rsidP="00F136DF">
            <w:pPr>
              <w:jc w:val="both"/>
              <w:rPr>
                <w:rFonts w:cstheme="minorHAnsi"/>
                <w:b/>
              </w:rPr>
            </w:pPr>
            <w:r w:rsidRPr="0073397C">
              <w:rPr>
                <w:rFonts w:cstheme="minorHAnsi"/>
                <w:b/>
              </w:rPr>
              <w:t>Einkünfte</w:t>
            </w:r>
          </w:p>
          <w:p w:rsidR="0073397C" w:rsidRPr="0073397C" w:rsidRDefault="0073397C" w:rsidP="00F136DF">
            <w:pPr>
              <w:jc w:val="both"/>
              <w:rPr>
                <w:rFonts w:cstheme="minorHAnsi"/>
                <w:b/>
              </w:rPr>
            </w:pPr>
            <w:r w:rsidRPr="0073397C">
              <w:rPr>
                <w:rFonts w:cstheme="minorHAnsi"/>
                <w:b/>
              </w:rPr>
              <w:t>Euro</w:t>
            </w:r>
          </w:p>
        </w:tc>
        <w:tc>
          <w:tcPr>
            <w:tcW w:w="1836" w:type="dxa"/>
            <w:shd w:val="clear" w:color="auto" w:fill="BFBFBF" w:themeFill="background1" w:themeFillShade="BF"/>
          </w:tcPr>
          <w:p w:rsidR="0073397C" w:rsidRPr="0073397C" w:rsidRDefault="0073397C" w:rsidP="00F136DF">
            <w:pPr>
              <w:jc w:val="both"/>
              <w:rPr>
                <w:rFonts w:cstheme="minorHAnsi"/>
                <w:b/>
              </w:rPr>
            </w:pPr>
            <w:r w:rsidRPr="0073397C">
              <w:rPr>
                <w:rFonts w:cstheme="minorHAnsi"/>
                <w:b/>
              </w:rPr>
              <w:t>3 – 4 Stunden</w:t>
            </w:r>
          </w:p>
        </w:tc>
        <w:tc>
          <w:tcPr>
            <w:tcW w:w="1836" w:type="dxa"/>
            <w:shd w:val="clear" w:color="auto" w:fill="BFBFBF" w:themeFill="background1" w:themeFillShade="BF"/>
          </w:tcPr>
          <w:p w:rsidR="0073397C" w:rsidRPr="0073397C" w:rsidRDefault="0073397C" w:rsidP="00F136DF">
            <w:pPr>
              <w:jc w:val="both"/>
              <w:rPr>
                <w:rFonts w:cstheme="minorHAnsi"/>
                <w:b/>
              </w:rPr>
            </w:pPr>
            <w:r w:rsidRPr="0073397C">
              <w:rPr>
                <w:rFonts w:cstheme="minorHAnsi"/>
                <w:b/>
              </w:rPr>
              <w:t>4 – 5 Stunden</w:t>
            </w:r>
          </w:p>
        </w:tc>
        <w:tc>
          <w:tcPr>
            <w:tcW w:w="1836" w:type="dxa"/>
            <w:shd w:val="clear" w:color="auto" w:fill="BFBFBF" w:themeFill="background1" w:themeFillShade="BF"/>
          </w:tcPr>
          <w:p w:rsidR="0073397C" w:rsidRPr="0073397C" w:rsidRDefault="0073397C" w:rsidP="00F136DF">
            <w:pPr>
              <w:jc w:val="both"/>
              <w:rPr>
                <w:rFonts w:cstheme="minorHAnsi"/>
                <w:b/>
              </w:rPr>
            </w:pPr>
            <w:r w:rsidRPr="0073397C">
              <w:rPr>
                <w:rFonts w:cstheme="minorHAnsi"/>
                <w:b/>
              </w:rPr>
              <w:t>5 – 6 Stunden</w:t>
            </w:r>
          </w:p>
        </w:tc>
        <w:tc>
          <w:tcPr>
            <w:tcW w:w="1836" w:type="dxa"/>
            <w:shd w:val="clear" w:color="auto" w:fill="BFBFBF" w:themeFill="background1" w:themeFillShade="BF"/>
          </w:tcPr>
          <w:p w:rsidR="0073397C" w:rsidRPr="0073397C" w:rsidRDefault="0073397C" w:rsidP="00F136DF">
            <w:pPr>
              <w:jc w:val="both"/>
              <w:rPr>
                <w:rFonts w:cstheme="minorHAnsi"/>
                <w:b/>
              </w:rPr>
            </w:pPr>
            <w:r w:rsidRPr="0073397C">
              <w:rPr>
                <w:rFonts w:cstheme="minorHAnsi"/>
                <w:b/>
              </w:rPr>
              <w:t>6 -7 Stunden</w:t>
            </w:r>
          </w:p>
        </w:tc>
      </w:tr>
      <w:tr w:rsidR="0073397C" w:rsidRPr="0073397C" w:rsidTr="00F136DF">
        <w:tc>
          <w:tcPr>
            <w:tcW w:w="1836" w:type="dxa"/>
            <w:shd w:val="clear" w:color="auto" w:fill="BFBFBF" w:themeFill="background1" w:themeFillShade="BF"/>
          </w:tcPr>
          <w:p w:rsidR="0073397C" w:rsidRPr="0073397C" w:rsidRDefault="0073397C" w:rsidP="00F136DF">
            <w:pPr>
              <w:jc w:val="both"/>
              <w:rPr>
                <w:rFonts w:cstheme="minorHAnsi"/>
                <w:b/>
              </w:rPr>
            </w:pPr>
            <w:r w:rsidRPr="0073397C">
              <w:rPr>
                <w:rFonts w:cstheme="minorHAnsi"/>
                <w:b/>
              </w:rPr>
              <w:t>bis 50.000</w:t>
            </w:r>
          </w:p>
        </w:tc>
        <w:tc>
          <w:tcPr>
            <w:tcW w:w="1836" w:type="dxa"/>
          </w:tcPr>
          <w:p w:rsidR="0073397C" w:rsidRPr="0073397C" w:rsidRDefault="0073397C" w:rsidP="00F136DF">
            <w:pPr>
              <w:jc w:val="center"/>
              <w:rPr>
                <w:rFonts w:cstheme="minorHAnsi"/>
              </w:rPr>
            </w:pPr>
            <w:r w:rsidRPr="0073397C">
              <w:rPr>
                <w:rFonts w:cstheme="minorHAnsi"/>
              </w:rPr>
              <w:t>0,00</w:t>
            </w:r>
          </w:p>
        </w:tc>
        <w:tc>
          <w:tcPr>
            <w:tcW w:w="1836" w:type="dxa"/>
          </w:tcPr>
          <w:p w:rsidR="0073397C" w:rsidRPr="0073397C" w:rsidRDefault="0073397C" w:rsidP="00F136DF">
            <w:pPr>
              <w:jc w:val="center"/>
              <w:rPr>
                <w:rFonts w:cstheme="minorHAnsi"/>
              </w:rPr>
            </w:pPr>
            <w:r w:rsidRPr="0073397C">
              <w:rPr>
                <w:rFonts w:cstheme="minorHAnsi"/>
              </w:rPr>
              <w:t>0,00</w:t>
            </w:r>
          </w:p>
        </w:tc>
        <w:tc>
          <w:tcPr>
            <w:tcW w:w="1836" w:type="dxa"/>
          </w:tcPr>
          <w:p w:rsidR="0073397C" w:rsidRPr="0073397C" w:rsidRDefault="0073397C" w:rsidP="00F136DF">
            <w:pPr>
              <w:jc w:val="center"/>
              <w:rPr>
                <w:rFonts w:cstheme="minorHAnsi"/>
              </w:rPr>
            </w:pPr>
            <w:r w:rsidRPr="0073397C">
              <w:rPr>
                <w:rFonts w:cstheme="minorHAnsi"/>
              </w:rPr>
              <w:t>0,00</w:t>
            </w:r>
          </w:p>
        </w:tc>
        <w:tc>
          <w:tcPr>
            <w:tcW w:w="1836" w:type="dxa"/>
          </w:tcPr>
          <w:p w:rsidR="0073397C" w:rsidRPr="0073397C" w:rsidRDefault="0073397C" w:rsidP="00F136DF">
            <w:pPr>
              <w:jc w:val="center"/>
              <w:rPr>
                <w:rFonts w:cstheme="minorHAnsi"/>
              </w:rPr>
            </w:pPr>
            <w:r w:rsidRPr="0073397C">
              <w:rPr>
                <w:rFonts w:cstheme="minorHAnsi"/>
              </w:rPr>
              <w:t>0,00</w:t>
            </w:r>
          </w:p>
        </w:tc>
      </w:tr>
      <w:tr w:rsidR="0073397C" w:rsidRPr="0073397C" w:rsidTr="00F136DF">
        <w:tc>
          <w:tcPr>
            <w:tcW w:w="1836" w:type="dxa"/>
            <w:shd w:val="clear" w:color="auto" w:fill="BFBFBF" w:themeFill="background1" w:themeFillShade="BF"/>
          </w:tcPr>
          <w:p w:rsidR="0073397C" w:rsidRPr="0073397C" w:rsidRDefault="0073397C" w:rsidP="00F136DF">
            <w:pPr>
              <w:jc w:val="both"/>
              <w:rPr>
                <w:rFonts w:cstheme="minorHAnsi"/>
                <w:b/>
              </w:rPr>
            </w:pPr>
            <w:r w:rsidRPr="0073397C">
              <w:rPr>
                <w:rFonts w:cstheme="minorHAnsi"/>
                <w:b/>
              </w:rPr>
              <w:t>bis 60.000</w:t>
            </w:r>
          </w:p>
        </w:tc>
        <w:tc>
          <w:tcPr>
            <w:tcW w:w="1836" w:type="dxa"/>
          </w:tcPr>
          <w:p w:rsidR="0073397C" w:rsidRPr="0073397C" w:rsidRDefault="0073397C" w:rsidP="00F136DF">
            <w:pPr>
              <w:jc w:val="center"/>
              <w:rPr>
                <w:rFonts w:cstheme="minorHAnsi"/>
              </w:rPr>
            </w:pPr>
            <w:r w:rsidRPr="0073397C">
              <w:rPr>
                <w:rFonts w:cstheme="minorHAnsi"/>
              </w:rPr>
              <w:t>30,00</w:t>
            </w:r>
          </w:p>
        </w:tc>
        <w:tc>
          <w:tcPr>
            <w:tcW w:w="1836" w:type="dxa"/>
          </w:tcPr>
          <w:p w:rsidR="0073397C" w:rsidRPr="0073397C" w:rsidRDefault="0073397C" w:rsidP="00F136DF">
            <w:pPr>
              <w:jc w:val="center"/>
              <w:rPr>
                <w:rFonts w:cstheme="minorHAnsi"/>
              </w:rPr>
            </w:pPr>
            <w:r w:rsidRPr="0073397C">
              <w:rPr>
                <w:rFonts w:cstheme="minorHAnsi"/>
              </w:rPr>
              <w:t>38,00</w:t>
            </w:r>
          </w:p>
        </w:tc>
        <w:tc>
          <w:tcPr>
            <w:tcW w:w="1836" w:type="dxa"/>
          </w:tcPr>
          <w:p w:rsidR="0073397C" w:rsidRPr="0073397C" w:rsidRDefault="0073397C" w:rsidP="00F136DF">
            <w:pPr>
              <w:jc w:val="center"/>
              <w:rPr>
                <w:rFonts w:cstheme="minorHAnsi"/>
              </w:rPr>
            </w:pPr>
            <w:r w:rsidRPr="0073397C">
              <w:rPr>
                <w:rFonts w:cstheme="minorHAnsi"/>
              </w:rPr>
              <w:t>45,00</w:t>
            </w:r>
          </w:p>
        </w:tc>
        <w:tc>
          <w:tcPr>
            <w:tcW w:w="1836" w:type="dxa"/>
          </w:tcPr>
          <w:p w:rsidR="0073397C" w:rsidRPr="0073397C" w:rsidRDefault="0073397C" w:rsidP="00F136DF">
            <w:pPr>
              <w:jc w:val="center"/>
              <w:rPr>
                <w:rFonts w:cstheme="minorHAnsi"/>
              </w:rPr>
            </w:pPr>
            <w:r w:rsidRPr="0073397C">
              <w:rPr>
                <w:rFonts w:cstheme="minorHAnsi"/>
              </w:rPr>
              <w:t>53,00</w:t>
            </w:r>
          </w:p>
        </w:tc>
      </w:tr>
      <w:tr w:rsidR="0073397C" w:rsidRPr="0073397C" w:rsidTr="00F136DF">
        <w:tc>
          <w:tcPr>
            <w:tcW w:w="1836" w:type="dxa"/>
            <w:shd w:val="clear" w:color="auto" w:fill="BFBFBF" w:themeFill="background1" w:themeFillShade="BF"/>
          </w:tcPr>
          <w:p w:rsidR="0073397C" w:rsidRPr="0073397C" w:rsidRDefault="0073397C" w:rsidP="00F136DF">
            <w:pPr>
              <w:jc w:val="both"/>
              <w:rPr>
                <w:rFonts w:cstheme="minorHAnsi"/>
                <w:b/>
              </w:rPr>
            </w:pPr>
            <w:r w:rsidRPr="0073397C">
              <w:rPr>
                <w:rFonts w:cstheme="minorHAnsi"/>
                <w:b/>
              </w:rPr>
              <w:t>bis 70.000</w:t>
            </w:r>
          </w:p>
        </w:tc>
        <w:tc>
          <w:tcPr>
            <w:tcW w:w="1836" w:type="dxa"/>
          </w:tcPr>
          <w:p w:rsidR="0073397C" w:rsidRPr="0073397C" w:rsidRDefault="0073397C" w:rsidP="00F136DF">
            <w:pPr>
              <w:jc w:val="center"/>
              <w:rPr>
                <w:rFonts w:cstheme="minorHAnsi"/>
              </w:rPr>
            </w:pPr>
            <w:r w:rsidRPr="0073397C">
              <w:rPr>
                <w:rFonts w:cstheme="minorHAnsi"/>
              </w:rPr>
              <w:t>43,00</w:t>
            </w:r>
          </w:p>
        </w:tc>
        <w:tc>
          <w:tcPr>
            <w:tcW w:w="1836" w:type="dxa"/>
          </w:tcPr>
          <w:p w:rsidR="0073397C" w:rsidRPr="0073397C" w:rsidRDefault="0073397C" w:rsidP="00F136DF">
            <w:pPr>
              <w:jc w:val="center"/>
              <w:rPr>
                <w:rFonts w:cstheme="minorHAnsi"/>
              </w:rPr>
            </w:pPr>
            <w:r w:rsidRPr="0073397C">
              <w:rPr>
                <w:rFonts w:cstheme="minorHAnsi"/>
              </w:rPr>
              <w:t>54,00</w:t>
            </w:r>
          </w:p>
        </w:tc>
        <w:tc>
          <w:tcPr>
            <w:tcW w:w="1836" w:type="dxa"/>
          </w:tcPr>
          <w:p w:rsidR="0073397C" w:rsidRPr="0073397C" w:rsidRDefault="0073397C" w:rsidP="00F136DF">
            <w:pPr>
              <w:jc w:val="center"/>
              <w:rPr>
                <w:rFonts w:cstheme="minorHAnsi"/>
              </w:rPr>
            </w:pPr>
            <w:r w:rsidRPr="0073397C">
              <w:rPr>
                <w:rFonts w:cstheme="minorHAnsi"/>
              </w:rPr>
              <w:t>65,00</w:t>
            </w:r>
          </w:p>
        </w:tc>
        <w:tc>
          <w:tcPr>
            <w:tcW w:w="1836" w:type="dxa"/>
          </w:tcPr>
          <w:p w:rsidR="0073397C" w:rsidRPr="0073397C" w:rsidRDefault="0073397C" w:rsidP="00F136DF">
            <w:pPr>
              <w:jc w:val="center"/>
              <w:rPr>
                <w:rFonts w:cstheme="minorHAnsi"/>
              </w:rPr>
            </w:pPr>
            <w:r w:rsidRPr="0073397C">
              <w:rPr>
                <w:rFonts w:cstheme="minorHAnsi"/>
              </w:rPr>
              <w:t>77,00</w:t>
            </w:r>
          </w:p>
        </w:tc>
      </w:tr>
      <w:tr w:rsidR="0073397C" w:rsidRPr="0073397C" w:rsidTr="00F136DF">
        <w:tc>
          <w:tcPr>
            <w:tcW w:w="1836" w:type="dxa"/>
            <w:shd w:val="clear" w:color="auto" w:fill="BFBFBF" w:themeFill="background1" w:themeFillShade="BF"/>
          </w:tcPr>
          <w:p w:rsidR="0073397C" w:rsidRPr="0073397C" w:rsidRDefault="0073397C" w:rsidP="00F136DF">
            <w:pPr>
              <w:jc w:val="both"/>
              <w:rPr>
                <w:rFonts w:cstheme="minorHAnsi"/>
                <w:b/>
              </w:rPr>
            </w:pPr>
            <w:r w:rsidRPr="0073397C">
              <w:rPr>
                <w:rFonts w:cstheme="minorHAnsi"/>
                <w:b/>
              </w:rPr>
              <w:t>bis 80.000</w:t>
            </w:r>
          </w:p>
        </w:tc>
        <w:tc>
          <w:tcPr>
            <w:tcW w:w="1836" w:type="dxa"/>
          </w:tcPr>
          <w:p w:rsidR="0073397C" w:rsidRPr="0073397C" w:rsidRDefault="0073397C" w:rsidP="00F136DF">
            <w:pPr>
              <w:jc w:val="center"/>
              <w:rPr>
                <w:rFonts w:cstheme="minorHAnsi"/>
              </w:rPr>
            </w:pPr>
            <w:r w:rsidRPr="0073397C">
              <w:rPr>
                <w:rFonts w:cstheme="minorHAnsi"/>
              </w:rPr>
              <w:t>53,00</w:t>
            </w:r>
          </w:p>
        </w:tc>
        <w:tc>
          <w:tcPr>
            <w:tcW w:w="1836" w:type="dxa"/>
          </w:tcPr>
          <w:p w:rsidR="0073397C" w:rsidRPr="0073397C" w:rsidRDefault="0073397C" w:rsidP="00F136DF">
            <w:pPr>
              <w:jc w:val="center"/>
              <w:rPr>
                <w:rFonts w:cstheme="minorHAnsi"/>
              </w:rPr>
            </w:pPr>
            <w:r w:rsidRPr="0073397C">
              <w:rPr>
                <w:rFonts w:cstheme="minorHAnsi"/>
              </w:rPr>
              <w:t>68,00</w:t>
            </w:r>
          </w:p>
        </w:tc>
        <w:tc>
          <w:tcPr>
            <w:tcW w:w="1836" w:type="dxa"/>
          </w:tcPr>
          <w:p w:rsidR="0073397C" w:rsidRPr="0073397C" w:rsidRDefault="0073397C" w:rsidP="00F136DF">
            <w:pPr>
              <w:jc w:val="center"/>
              <w:rPr>
                <w:rFonts w:cstheme="minorHAnsi"/>
              </w:rPr>
            </w:pPr>
            <w:r w:rsidRPr="0073397C">
              <w:rPr>
                <w:rFonts w:cstheme="minorHAnsi"/>
              </w:rPr>
              <w:t>83,00</w:t>
            </w:r>
          </w:p>
        </w:tc>
        <w:tc>
          <w:tcPr>
            <w:tcW w:w="1836" w:type="dxa"/>
          </w:tcPr>
          <w:p w:rsidR="0073397C" w:rsidRPr="0073397C" w:rsidRDefault="0073397C" w:rsidP="00F136DF">
            <w:pPr>
              <w:jc w:val="center"/>
              <w:rPr>
                <w:rFonts w:cstheme="minorHAnsi"/>
              </w:rPr>
            </w:pPr>
            <w:r w:rsidRPr="0073397C">
              <w:rPr>
                <w:rFonts w:cstheme="minorHAnsi"/>
              </w:rPr>
              <w:t>97,00</w:t>
            </w:r>
          </w:p>
        </w:tc>
      </w:tr>
      <w:tr w:rsidR="0073397C" w:rsidRPr="0073397C" w:rsidTr="00F136DF">
        <w:tc>
          <w:tcPr>
            <w:tcW w:w="1836" w:type="dxa"/>
            <w:shd w:val="clear" w:color="auto" w:fill="BFBFBF" w:themeFill="background1" w:themeFillShade="BF"/>
          </w:tcPr>
          <w:p w:rsidR="0073397C" w:rsidRPr="0073397C" w:rsidRDefault="0073397C" w:rsidP="00F136DF">
            <w:pPr>
              <w:jc w:val="both"/>
              <w:rPr>
                <w:rFonts w:cstheme="minorHAnsi"/>
                <w:b/>
              </w:rPr>
            </w:pPr>
            <w:r w:rsidRPr="0073397C">
              <w:rPr>
                <w:rFonts w:cstheme="minorHAnsi"/>
                <w:b/>
              </w:rPr>
              <w:t>ab 80.000</w:t>
            </w:r>
          </w:p>
        </w:tc>
        <w:tc>
          <w:tcPr>
            <w:tcW w:w="1836" w:type="dxa"/>
          </w:tcPr>
          <w:p w:rsidR="0073397C" w:rsidRPr="0073397C" w:rsidRDefault="0073397C" w:rsidP="00F136DF">
            <w:pPr>
              <w:jc w:val="center"/>
              <w:rPr>
                <w:rFonts w:cstheme="minorHAnsi"/>
              </w:rPr>
            </w:pPr>
            <w:r w:rsidRPr="0073397C">
              <w:rPr>
                <w:rFonts w:cstheme="minorHAnsi"/>
              </w:rPr>
              <w:t>61,00</w:t>
            </w:r>
          </w:p>
        </w:tc>
        <w:tc>
          <w:tcPr>
            <w:tcW w:w="1836" w:type="dxa"/>
          </w:tcPr>
          <w:p w:rsidR="0073397C" w:rsidRPr="0073397C" w:rsidRDefault="0073397C" w:rsidP="00F136DF">
            <w:pPr>
              <w:jc w:val="center"/>
              <w:rPr>
                <w:rFonts w:cstheme="minorHAnsi"/>
              </w:rPr>
            </w:pPr>
            <w:r w:rsidRPr="0073397C">
              <w:rPr>
                <w:rFonts w:cstheme="minorHAnsi"/>
              </w:rPr>
              <w:t>78,00</w:t>
            </w:r>
          </w:p>
        </w:tc>
        <w:tc>
          <w:tcPr>
            <w:tcW w:w="1836" w:type="dxa"/>
          </w:tcPr>
          <w:p w:rsidR="0073397C" w:rsidRPr="0073397C" w:rsidRDefault="0073397C" w:rsidP="00F136DF">
            <w:pPr>
              <w:jc w:val="center"/>
              <w:rPr>
                <w:rFonts w:cstheme="minorHAnsi"/>
              </w:rPr>
            </w:pPr>
            <w:r w:rsidRPr="0073397C">
              <w:rPr>
                <w:rFonts w:cstheme="minorHAnsi"/>
              </w:rPr>
              <w:t>94,00</w:t>
            </w:r>
          </w:p>
        </w:tc>
        <w:tc>
          <w:tcPr>
            <w:tcW w:w="1836" w:type="dxa"/>
          </w:tcPr>
          <w:p w:rsidR="0073397C" w:rsidRPr="0073397C" w:rsidRDefault="0073397C" w:rsidP="00F136DF">
            <w:pPr>
              <w:jc w:val="center"/>
              <w:rPr>
                <w:rFonts w:cstheme="minorHAnsi"/>
              </w:rPr>
            </w:pPr>
            <w:r w:rsidRPr="0073397C">
              <w:rPr>
                <w:rFonts w:cstheme="minorHAnsi"/>
              </w:rPr>
              <w:t>111,00</w:t>
            </w:r>
          </w:p>
        </w:tc>
      </w:tr>
    </w:tbl>
    <w:p w:rsidR="0073397C" w:rsidRPr="0073397C" w:rsidRDefault="0073397C" w:rsidP="0073397C">
      <w:pPr>
        <w:jc w:val="both"/>
        <w:rPr>
          <w:rFonts w:cstheme="minorHAnsi"/>
        </w:rPr>
      </w:pPr>
    </w:p>
    <w:p w:rsidR="0073397C" w:rsidRPr="0073397C" w:rsidRDefault="0073397C" w:rsidP="0073397C">
      <w:pPr>
        <w:jc w:val="both"/>
        <w:rPr>
          <w:rFonts w:cstheme="minorHAnsi"/>
        </w:rPr>
      </w:pPr>
      <w:r w:rsidRPr="0073397C">
        <w:rPr>
          <w:rFonts w:cstheme="minorHAnsi"/>
        </w:rPr>
        <w:t>Zusätzlich zur einkommensabhängigen Staffelung wird im Rahmen der Differenzförderung eine Geschwisterermäßigung gewährt.</w:t>
      </w:r>
    </w:p>
    <w:p w:rsidR="0073397C" w:rsidRPr="0073397C" w:rsidRDefault="0073397C" w:rsidP="0073397C">
      <w:pPr>
        <w:jc w:val="both"/>
        <w:rPr>
          <w:rFonts w:cstheme="minorHAnsi"/>
        </w:rPr>
      </w:pPr>
      <w:r w:rsidRPr="0073397C">
        <w:rPr>
          <w:rFonts w:cstheme="minorHAnsi"/>
        </w:rPr>
        <w:t xml:space="preserve">Voraussetzung für eine Ermäßigung ist, dass zwei oder mehrere Geschwisterkinder innerhalb einer Familiengemeinschaft leben. </w:t>
      </w:r>
    </w:p>
    <w:p w:rsidR="0073397C" w:rsidRPr="0073397C" w:rsidRDefault="0073397C" w:rsidP="0073397C">
      <w:pPr>
        <w:jc w:val="both"/>
        <w:rPr>
          <w:rFonts w:cstheme="minorHAnsi"/>
        </w:rPr>
      </w:pPr>
      <w:r w:rsidRPr="0073397C">
        <w:rPr>
          <w:rFonts w:cstheme="minorHAnsi"/>
        </w:rPr>
        <w:t>Die zu berücksichtigenden Geschwisterkinder werden dem Alter nach vom ältesten bis zum jüngsten zu berücksichtigenden Kind gereiht und alle erhalten eine Ordnungsnummer. Für Kinder, die eine geförderte Kindertageseinrichtung besuchen, werden entsprechend ihrer Ordnungsnummer folgende Ermäßigungen gewährt:</w:t>
      </w:r>
    </w:p>
    <w:p w:rsidR="0073397C" w:rsidRPr="0073397C" w:rsidRDefault="0073397C" w:rsidP="0073397C">
      <w:pPr>
        <w:jc w:val="both"/>
        <w:rPr>
          <w:rFonts w:cstheme="minorHAnsi"/>
        </w:rPr>
      </w:pPr>
      <w:r w:rsidRPr="0073397C">
        <w:rPr>
          <w:rFonts w:cstheme="minorHAnsi"/>
        </w:rPr>
        <w:t>Kind mit Ordnungsnummer 1:</w:t>
      </w:r>
      <w:r w:rsidRPr="0073397C">
        <w:rPr>
          <w:rFonts w:cstheme="minorHAnsi"/>
        </w:rPr>
        <w:tab/>
      </w:r>
      <w:r w:rsidRPr="0073397C">
        <w:rPr>
          <w:rFonts w:cstheme="minorHAnsi"/>
        </w:rPr>
        <w:tab/>
      </w:r>
      <w:r w:rsidRPr="0073397C">
        <w:rPr>
          <w:rFonts w:cstheme="minorHAnsi"/>
        </w:rPr>
        <w:tab/>
        <w:t>Reguläres Elternentgelt</w:t>
      </w:r>
    </w:p>
    <w:p w:rsidR="0073397C" w:rsidRPr="0073397C" w:rsidRDefault="0073397C" w:rsidP="0073397C">
      <w:pPr>
        <w:jc w:val="both"/>
        <w:rPr>
          <w:rFonts w:cstheme="minorHAnsi"/>
        </w:rPr>
      </w:pPr>
      <w:r w:rsidRPr="0073397C">
        <w:rPr>
          <w:rFonts w:cstheme="minorHAnsi"/>
        </w:rPr>
        <w:t>Kind mit Ordnungsnummer 2:</w:t>
      </w:r>
      <w:r w:rsidRPr="0073397C">
        <w:rPr>
          <w:rFonts w:cstheme="minorHAnsi"/>
        </w:rPr>
        <w:tab/>
      </w:r>
      <w:r w:rsidRPr="0073397C">
        <w:rPr>
          <w:rFonts w:cstheme="minorHAnsi"/>
        </w:rPr>
        <w:tab/>
      </w:r>
      <w:r w:rsidRPr="0073397C">
        <w:rPr>
          <w:rFonts w:cstheme="minorHAnsi"/>
        </w:rPr>
        <w:tab/>
        <w:t>Ermäßigung um eine Einkommensstufe</w:t>
      </w:r>
    </w:p>
    <w:p w:rsidR="00A816C6" w:rsidRPr="0073397C" w:rsidRDefault="0073397C" w:rsidP="0073397C">
      <w:pPr>
        <w:pStyle w:val="StandardWeb"/>
        <w:rPr>
          <w:rFonts w:asciiTheme="minorHAnsi" w:hAnsiTheme="minorHAnsi" w:cstheme="minorHAnsi"/>
          <w:sz w:val="22"/>
          <w:szCs w:val="22"/>
        </w:rPr>
      </w:pPr>
      <w:r w:rsidRPr="0073397C">
        <w:rPr>
          <w:rFonts w:asciiTheme="minorHAnsi" w:hAnsiTheme="minorHAnsi" w:cstheme="minorHAnsi"/>
          <w:sz w:val="22"/>
          <w:szCs w:val="22"/>
        </w:rPr>
        <w:t>Kind mit Ordnungsnummer 3 oder höher:</w:t>
      </w:r>
      <w:r w:rsidRPr="0073397C">
        <w:rPr>
          <w:rFonts w:asciiTheme="minorHAnsi" w:hAnsiTheme="minorHAnsi" w:cstheme="minorHAnsi"/>
          <w:sz w:val="22"/>
          <w:szCs w:val="22"/>
        </w:rPr>
        <w:tab/>
        <w:t>Ermäßigung auf null Euro</w:t>
      </w:r>
      <w:r w:rsidR="00A816C6" w:rsidRPr="0073397C">
        <w:rPr>
          <w:rFonts w:asciiTheme="minorHAnsi" w:hAnsiTheme="minorHAnsi" w:cstheme="minorHAnsi"/>
          <w:sz w:val="22"/>
          <w:szCs w:val="22"/>
        </w:rPr>
        <w:t xml:space="preserve">  </w:t>
      </w:r>
    </w:p>
    <w:p w:rsidR="0073397C" w:rsidRDefault="00A816C6" w:rsidP="00A816C6">
      <w:pPr>
        <w:pStyle w:val="StandardWeb"/>
        <w:rPr>
          <w:rFonts w:asciiTheme="minorHAnsi" w:hAnsiTheme="minorHAnsi" w:cstheme="minorHAnsi"/>
          <w:sz w:val="22"/>
          <w:szCs w:val="22"/>
        </w:rPr>
      </w:pPr>
      <w:r w:rsidRPr="0073397C">
        <w:rPr>
          <w:rFonts w:asciiTheme="minorHAnsi" w:hAnsiTheme="minorHAnsi" w:cstheme="minorHAnsi"/>
          <w:sz w:val="22"/>
          <w:szCs w:val="22"/>
        </w:rPr>
        <w:t xml:space="preserve">Zusätzlich sind pro Monat </w:t>
      </w:r>
      <w:r w:rsidR="003E1551">
        <w:rPr>
          <w:rFonts w:asciiTheme="minorHAnsi" w:hAnsiTheme="minorHAnsi" w:cstheme="minorHAnsi"/>
          <w:sz w:val="22"/>
          <w:szCs w:val="22"/>
        </w:rPr>
        <w:t>25</w:t>
      </w:r>
      <w:r w:rsidRPr="0073397C">
        <w:rPr>
          <w:rFonts w:asciiTheme="minorHAnsi" w:hAnsiTheme="minorHAnsi" w:cstheme="minorHAnsi"/>
          <w:sz w:val="22"/>
          <w:szCs w:val="22"/>
        </w:rPr>
        <w:t xml:space="preserve"> € für </w:t>
      </w:r>
      <w:proofErr w:type="spellStart"/>
      <w:r w:rsidRPr="0073397C">
        <w:rPr>
          <w:rFonts w:asciiTheme="minorHAnsi" w:hAnsiTheme="minorHAnsi" w:cstheme="minorHAnsi"/>
          <w:sz w:val="22"/>
          <w:szCs w:val="22"/>
        </w:rPr>
        <w:t>Rhythmik</w:t>
      </w:r>
      <w:r w:rsidR="003E1551">
        <w:rPr>
          <w:rFonts w:asciiTheme="minorHAnsi" w:hAnsiTheme="minorHAnsi" w:cstheme="minorHAnsi"/>
          <w:sz w:val="22"/>
          <w:szCs w:val="22"/>
        </w:rPr>
        <w:t>beitrag</w:t>
      </w:r>
      <w:proofErr w:type="spellEnd"/>
      <w:r w:rsidRPr="0073397C">
        <w:rPr>
          <w:rFonts w:asciiTheme="minorHAnsi" w:hAnsiTheme="minorHAnsi" w:cstheme="minorHAnsi"/>
          <w:sz w:val="22"/>
          <w:szCs w:val="22"/>
        </w:rPr>
        <w:t xml:space="preserve"> zu entrichten.</w:t>
      </w:r>
    </w:p>
    <w:p w:rsidR="0073397C" w:rsidRDefault="00A816C6" w:rsidP="00A816C6">
      <w:pPr>
        <w:pStyle w:val="StandardWeb"/>
        <w:rPr>
          <w:rFonts w:asciiTheme="minorHAnsi" w:hAnsiTheme="minorHAnsi" w:cstheme="minorHAnsi"/>
          <w:sz w:val="22"/>
          <w:szCs w:val="22"/>
        </w:rPr>
      </w:pPr>
      <w:r w:rsidRPr="0073397C">
        <w:rPr>
          <w:rFonts w:asciiTheme="minorHAnsi" w:hAnsiTheme="minorHAnsi" w:cstheme="minorHAnsi"/>
          <w:sz w:val="22"/>
          <w:szCs w:val="22"/>
        </w:rPr>
        <w:lastRenderedPageBreak/>
        <w:br/>
        <w:t xml:space="preserve">Die einmalige Aufnahmegebühr beträgt 129 </w:t>
      </w:r>
      <w:r w:rsidR="0073397C">
        <w:rPr>
          <w:rFonts w:asciiTheme="minorHAnsi" w:hAnsiTheme="minorHAnsi" w:cstheme="minorHAnsi"/>
          <w:sz w:val="22"/>
          <w:szCs w:val="22"/>
        </w:rPr>
        <w:t>€.</w:t>
      </w:r>
    </w:p>
    <w:p w:rsidR="0073397C" w:rsidRPr="0073397C" w:rsidRDefault="00A816C6" w:rsidP="00A816C6">
      <w:pPr>
        <w:pStyle w:val="StandardWeb"/>
        <w:rPr>
          <w:rFonts w:asciiTheme="minorHAnsi" w:hAnsiTheme="minorHAnsi" w:cstheme="minorHAnsi"/>
          <w:sz w:val="22"/>
          <w:szCs w:val="22"/>
        </w:rPr>
      </w:pPr>
      <w:r w:rsidRPr="0073397C">
        <w:rPr>
          <w:rFonts w:asciiTheme="minorHAnsi" w:hAnsiTheme="minorHAnsi" w:cstheme="minorHAnsi"/>
          <w:sz w:val="22"/>
          <w:szCs w:val="22"/>
        </w:rPr>
        <w:t>Als Kaution w</w:t>
      </w:r>
      <w:r w:rsidR="003E1551">
        <w:rPr>
          <w:rFonts w:asciiTheme="minorHAnsi" w:hAnsiTheme="minorHAnsi" w:cstheme="minorHAnsi"/>
          <w:sz w:val="22"/>
          <w:szCs w:val="22"/>
        </w:rPr>
        <w:t>erden 280 €</w:t>
      </w:r>
      <w:r w:rsidRPr="0073397C">
        <w:rPr>
          <w:rFonts w:asciiTheme="minorHAnsi" w:hAnsiTheme="minorHAnsi" w:cstheme="minorHAnsi"/>
          <w:sz w:val="22"/>
          <w:szCs w:val="22"/>
        </w:rPr>
        <w:t xml:space="preserve"> einbehalten, die bei Austritt </w:t>
      </w:r>
      <w:r w:rsidR="00CA6F3E">
        <w:rPr>
          <w:rFonts w:asciiTheme="minorHAnsi" w:hAnsiTheme="minorHAnsi" w:cstheme="minorHAnsi"/>
          <w:sz w:val="22"/>
          <w:szCs w:val="22"/>
        </w:rPr>
        <w:t xml:space="preserve">aus dem Verein </w:t>
      </w:r>
      <w:r w:rsidRPr="0073397C">
        <w:rPr>
          <w:rFonts w:asciiTheme="minorHAnsi" w:hAnsiTheme="minorHAnsi" w:cstheme="minorHAnsi"/>
          <w:sz w:val="22"/>
          <w:szCs w:val="22"/>
        </w:rPr>
        <w:t>wieder rückerstattet wi</w:t>
      </w:r>
      <w:bookmarkStart w:id="0" w:name="_GoBack"/>
      <w:bookmarkEnd w:id="0"/>
      <w:r w:rsidRPr="0073397C">
        <w:rPr>
          <w:rFonts w:asciiTheme="minorHAnsi" w:hAnsiTheme="minorHAnsi" w:cstheme="minorHAnsi"/>
          <w:sz w:val="22"/>
          <w:szCs w:val="22"/>
        </w:rPr>
        <w:t>rd.</w:t>
      </w:r>
    </w:p>
    <w:p w:rsidR="0073397C" w:rsidRPr="0073397C" w:rsidRDefault="0073397C" w:rsidP="00A816C6">
      <w:pPr>
        <w:pStyle w:val="StandardWeb"/>
        <w:rPr>
          <w:rFonts w:asciiTheme="minorHAnsi" w:hAnsiTheme="minorHAnsi" w:cstheme="minorHAnsi"/>
          <w:sz w:val="22"/>
          <w:szCs w:val="22"/>
        </w:rPr>
      </w:pPr>
      <w:r w:rsidRPr="0073397C">
        <w:rPr>
          <w:rFonts w:asciiTheme="minorHAnsi" w:hAnsiTheme="minorHAnsi" w:cstheme="minorHAnsi"/>
          <w:sz w:val="22"/>
          <w:szCs w:val="22"/>
        </w:rPr>
        <w:t>Link zur Gebührenübersicht</w:t>
      </w:r>
      <w:r>
        <w:rPr>
          <w:rFonts w:asciiTheme="minorHAnsi" w:hAnsiTheme="minorHAnsi" w:cstheme="minorHAnsi"/>
          <w:sz w:val="22"/>
          <w:szCs w:val="22"/>
        </w:rPr>
        <w:t xml:space="preserve"> der Stadt München</w:t>
      </w:r>
      <w:r w:rsidRPr="0073397C">
        <w:rPr>
          <w:rFonts w:asciiTheme="minorHAnsi" w:hAnsiTheme="minorHAnsi" w:cstheme="minorHAnsi"/>
          <w:sz w:val="22"/>
          <w:szCs w:val="22"/>
        </w:rPr>
        <w:t>:</w:t>
      </w:r>
    </w:p>
    <w:p w:rsidR="0073397C" w:rsidRDefault="003E1551" w:rsidP="00A816C6">
      <w:pPr>
        <w:pStyle w:val="StandardWeb"/>
        <w:rPr>
          <w:rFonts w:asciiTheme="minorHAnsi" w:hAnsiTheme="minorHAnsi" w:cstheme="minorHAnsi"/>
          <w:sz w:val="22"/>
          <w:szCs w:val="22"/>
        </w:rPr>
      </w:pPr>
      <w:hyperlink r:id="rId4" w:history="1">
        <w:r w:rsidR="0073397C" w:rsidRPr="0073397C">
          <w:rPr>
            <w:rStyle w:val="Hyperlink"/>
            <w:rFonts w:asciiTheme="minorHAnsi" w:hAnsiTheme="minorHAnsi" w:cstheme="minorHAnsi"/>
            <w:sz w:val="22"/>
            <w:szCs w:val="22"/>
          </w:rPr>
          <w:t>https://www.muenchen.de/rathaus/dam/jcr:4d4eba3f-8ee9-41f6-aca3-44161281948d/kita-gebuehren_uebersicht_2019.pdf</w:t>
        </w:r>
      </w:hyperlink>
    </w:p>
    <w:p w:rsidR="0073397C" w:rsidRDefault="0073397C" w:rsidP="00A816C6">
      <w:pPr>
        <w:pStyle w:val="StandardWeb"/>
        <w:rPr>
          <w:rFonts w:asciiTheme="minorHAnsi" w:hAnsiTheme="minorHAnsi" w:cstheme="minorHAnsi"/>
          <w:sz w:val="22"/>
          <w:szCs w:val="22"/>
        </w:rPr>
      </w:pPr>
      <w:r>
        <w:rPr>
          <w:rFonts w:asciiTheme="minorHAnsi" w:hAnsiTheme="minorHAnsi" w:cstheme="minorHAnsi"/>
          <w:sz w:val="22"/>
          <w:szCs w:val="22"/>
        </w:rPr>
        <w:t>Link zur Richtlinie EKI-Plus:</w:t>
      </w:r>
    </w:p>
    <w:p w:rsidR="0073397C" w:rsidRDefault="003E1551" w:rsidP="00A816C6">
      <w:pPr>
        <w:pStyle w:val="StandardWeb"/>
        <w:rPr>
          <w:rFonts w:asciiTheme="minorHAnsi" w:hAnsiTheme="minorHAnsi" w:cstheme="minorHAnsi"/>
          <w:sz w:val="22"/>
          <w:szCs w:val="22"/>
        </w:rPr>
      </w:pPr>
      <w:hyperlink r:id="rId5" w:history="1">
        <w:r w:rsidR="0073397C" w:rsidRPr="00544DF5">
          <w:rPr>
            <w:rStyle w:val="Hyperlink"/>
            <w:rFonts w:asciiTheme="minorHAnsi" w:hAnsiTheme="minorHAnsi" w:cstheme="minorHAnsi"/>
            <w:sz w:val="22"/>
            <w:szCs w:val="22"/>
          </w:rPr>
          <w:t>https://www.muenchen.de/rathaus/dam/jcr:05e5fdf1-ae17-4beb-b0ab-50cbcd9cbeaa/richtlinie_%20eki-plus.pdf</w:t>
        </w:r>
      </w:hyperlink>
    </w:p>
    <w:p w:rsidR="0073397C" w:rsidRPr="0073397C" w:rsidRDefault="0073397C" w:rsidP="00A816C6">
      <w:pPr>
        <w:pStyle w:val="StandardWeb"/>
        <w:rPr>
          <w:rFonts w:asciiTheme="minorHAnsi" w:hAnsiTheme="minorHAnsi" w:cstheme="minorHAnsi"/>
          <w:sz w:val="22"/>
          <w:szCs w:val="22"/>
        </w:rPr>
      </w:pPr>
    </w:p>
    <w:p w:rsidR="00A816C6" w:rsidRPr="0073397C" w:rsidRDefault="00A816C6" w:rsidP="00A816C6">
      <w:pPr>
        <w:pStyle w:val="StandardWeb"/>
        <w:rPr>
          <w:rFonts w:asciiTheme="minorHAnsi" w:hAnsiTheme="minorHAnsi" w:cstheme="minorHAnsi"/>
          <w:sz w:val="22"/>
          <w:szCs w:val="22"/>
        </w:rPr>
      </w:pPr>
      <w:r w:rsidRPr="0073397C">
        <w:rPr>
          <w:rFonts w:asciiTheme="minorHAnsi" w:hAnsiTheme="minorHAnsi" w:cstheme="minorHAnsi"/>
          <w:sz w:val="22"/>
          <w:szCs w:val="22"/>
        </w:rPr>
        <w:t xml:space="preserve"> </w:t>
      </w:r>
    </w:p>
    <w:p w:rsidR="008E5351" w:rsidRPr="0073397C" w:rsidRDefault="008E5351">
      <w:pPr>
        <w:rPr>
          <w:rFonts w:cstheme="minorHAnsi"/>
        </w:rPr>
      </w:pPr>
    </w:p>
    <w:sectPr w:rsidR="008E5351" w:rsidRPr="0073397C" w:rsidSect="008E53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C6"/>
    <w:rsid w:val="003E1551"/>
    <w:rsid w:val="0073397C"/>
    <w:rsid w:val="007643F8"/>
    <w:rsid w:val="008E5351"/>
    <w:rsid w:val="00A816C6"/>
    <w:rsid w:val="00CA6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19AA"/>
  <w15:docId w15:val="{C9F72179-0D67-4B10-B401-7327D043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5351"/>
  </w:style>
  <w:style w:type="paragraph" w:styleId="berschrift2">
    <w:name w:val="heading 2"/>
    <w:basedOn w:val="Standard"/>
    <w:link w:val="berschrift2Zchn"/>
    <w:uiPriority w:val="9"/>
    <w:qFormat/>
    <w:rsid w:val="0073397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816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816C6"/>
    <w:rPr>
      <w:b/>
      <w:bCs/>
    </w:rPr>
  </w:style>
  <w:style w:type="character" w:styleId="Hyperlink">
    <w:name w:val="Hyperlink"/>
    <w:basedOn w:val="Absatz-Standardschriftart"/>
    <w:uiPriority w:val="99"/>
    <w:unhideWhenUsed/>
    <w:rsid w:val="0073397C"/>
    <w:rPr>
      <w:color w:val="0000FF" w:themeColor="hyperlink"/>
      <w:u w:val="single"/>
    </w:rPr>
  </w:style>
  <w:style w:type="character" w:customStyle="1" w:styleId="berschrift2Zchn">
    <w:name w:val="Überschrift 2 Zchn"/>
    <w:basedOn w:val="Absatz-Standardschriftart"/>
    <w:link w:val="berschrift2"/>
    <w:uiPriority w:val="9"/>
    <w:rsid w:val="0073397C"/>
    <w:rPr>
      <w:rFonts w:ascii="Times New Roman" w:eastAsia="Times New Roman" w:hAnsi="Times New Roman" w:cs="Times New Roman"/>
      <w:b/>
      <w:bCs/>
      <w:sz w:val="36"/>
      <w:szCs w:val="36"/>
      <w:lang w:eastAsia="de-DE"/>
    </w:rPr>
  </w:style>
  <w:style w:type="table" w:styleId="Tabellenraster">
    <w:name w:val="Table Grid"/>
    <w:basedOn w:val="NormaleTabelle"/>
    <w:uiPriority w:val="59"/>
    <w:rsid w:val="0073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A6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enchen.de/rathaus/dam/jcr:05e5fdf1-ae17-4beb-b0ab-50cbcd9cbeaa/richtlinie_%20eki-plus.pdf" TargetMode="External"/><Relationship Id="rId4" Type="http://schemas.openxmlformats.org/officeDocument/2006/relationships/hyperlink" Target="https://www.muenchen.de/rathaus/dam/jcr:4d4eba3f-8ee9-41f6-aca3-44161281948d/kita-gebuehren_uebersicht_2019.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ismail - [2010]</cp:lastModifiedBy>
  <cp:revision>3</cp:revision>
  <dcterms:created xsi:type="dcterms:W3CDTF">2019-10-15T20:04:00Z</dcterms:created>
  <dcterms:modified xsi:type="dcterms:W3CDTF">2019-10-15T20:05:00Z</dcterms:modified>
</cp:coreProperties>
</file>